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8"/>
        <w:spacing w:line="540" w:lineRule="exact"/>
        <w:jc w:val="center"/>
        <w:rPr>
          <w:rFonts w:hint="eastAsia"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70" w:lineRule="exact"/>
        <w:ind w:firstLine="1044" w:firstLineChars="200"/>
        <w:jc w:val="center"/>
        <w:rPr>
          <w:rFonts w:ascii="华文中宋" w:hAnsi="华文中宋" w:eastAsia="华文中宋" w:cs="华文中宋"/>
          <w:b/>
          <w:bCs/>
          <w:kern w:val="0"/>
          <w:sz w:val="52"/>
          <w:szCs w:val="52"/>
        </w:rPr>
      </w:pPr>
    </w:p>
    <w:p>
      <w:pPr>
        <w:pStyle w:val="48"/>
        <w:spacing w:line="570" w:lineRule="exact"/>
        <w:ind w:firstLine="1044" w:firstLineChars="200"/>
        <w:jc w:val="center"/>
        <w:rPr>
          <w:rFonts w:ascii="华文中宋" w:hAnsi="华文中宋" w:eastAsia="华文中宋" w:cs="华文中宋"/>
          <w:b/>
          <w:bCs/>
          <w:kern w:val="0"/>
          <w:sz w:val="52"/>
          <w:szCs w:val="52"/>
        </w:rPr>
      </w:pPr>
    </w:p>
    <w:p>
      <w:pPr>
        <w:pStyle w:val="48"/>
        <w:spacing w:line="570" w:lineRule="exact"/>
        <w:ind w:firstLine="1044" w:firstLineChars="200"/>
        <w:rPr>
          <w:rFonts w:ascii="华文中宋" w:hAnsi="华文中宋" w:eastAsia="华文中宋" w:cs="华文中宋"/>
          <w:b/>
          <w:bCs/>
          <w:kern w:val="0"/>
          <w:sz w:val="52"/>
          <w:szCs w:val="52"/>
        </w:rPr>
      </w:pPr>
    </w:p>
    <w:p>
      <w:pPr>
        <w:pStyle w:val="48"/>
        <w:spacing w:line="570" w:lineRule="exact"/>
        <w:ind w:firstLine="1044" w:firstLineChars="200"/>
        <w:jc w:val="center"/>
        <w:rPr>
          <w:rFonts w:ascii="华文中宋" w:hAnsi="华文中宋" w:eastAsia="华文中宋" w:cs="华文中宋"/>
          <w:b/>
          <w:bCs/>
          <w:kern w:val="0"/>
          <w:sz w:val="52"/>
          <w:szCs w:val="52"/>
        </w:rPr>
      </w:pPr>
    </w:p>
    <w:p>
      <w:pPr>
        <w:pStyle w:val="48"/>
        <w:spacing w:line="570" w:lineRule="exact"/>
        <w:ind w:firstLine="1044" w:firstLineChars="200"/>
        <w:jc w:val="center"/>
        <w:rPr>
          <w:rFonts w:ascii="华文中宋" w:hAnsi="华文中宋" w:eastAsia="华文中宋" w:cs="华文中宋"/>
          <w:b/>
          <w:bCs/>
          <w:kern w:val="0"/>
          <w:sz w:val="52"/>
          <w:szCs w:val="52"/>
        </w:rPr>
      </w:pPr>
    </w:p>
    <w:p>
      <w:pPr>
        <w:pStyle w:val="48"/>
        <w:spacing w:line="570" w:lineRule="exact"/>
        <w:ind w:firstLine="720" w:firstLineChars="200"/>
        <w:jc w:val="center"/>
        <w:rPr>
          <w:rFonts w:ascii="方正黑体_GBK" w:hAnsi="华文中宋" w:eastAsia="方正黑体_GBK" w:cs="华文中宋"/>
          <w:b/>
          <w:bCs/>
          <w:kern w:val="0"/>
          <w:sz w:val="36"/>
          <w:szCs w:val="36"/>
        </w:rPr>
      </w:pPr>
    </w:p>
    <w:p>
      <w:pPr>
        <w:pStyle w:val="48"/>
        <w:spacing w:line="570" w:lineRule="exact"/>
        <w:ind w:firstLine="720" w:firstLineChars="200"/>
        <w:jc w:val="center"/>
        <w:rPr>
          <w:rFonts w:ascii="方正黑体_GBK" w:hAnsi="华文中宋" w:eastAsia="方正黑体_GBK" w:cs="华文中宋"/>
          <w:b/>
          <w:bCs/>
          <w:kern w:val="0"/>
          <w:sz w:val="36"/>
          <w:szCs w:val="36"/>
          <w:lang w:val="zh-TW" w:eastAsia="zh-TW"/>
        </w:rPr>
      </w:pPr>
      <w:r>
        <w:rPr>
          <w:rFonts w:hint="eastAsia" w:ascii="方正黑体_GBK" w:hAnsi="华文中宋" w:eastAsia="方正黑体_GBK" w:cs="华文中宋"/>
          <w:b/>
          <w:bCs/>
          <w:kern w:val="0"/>
          <w:sz w:val="36"/>
          <w:szCs w:val="36"/>
          <w:lang w:val="zh-TW" w:eastAsia="zh-TW"/>
        </w:rPr>
        <w:t>新疆财政支出绩效自评报告</w:t>
      </w:r>
    </w:p>
    <w:p>
      <w:pPr>
        <w:adjustRightInd w:val="0"/>
        <w:snapToGrid w:val="0"/>
        <w:spacing w:line="570" w:lineRule="exact"/>
        <w:ind w:firstLine="1044" w:firstLineChars="200"/>
        <w:rPr>
          <w:rFonts w:ascii="华文中宋" w:hAnsi="华文中宋" w:eastAsia="华文中宋" w:cs="华文中宋"/>
          <w:b/>
          <w:bCs/>
          <w:kern w:val="0"/>
          <w:sz w:val="52"/>
          <w:szCs w:val="52"/>
          <w:lang w:eastAsia="zh-TW"/>
        </w:rPr>
      </w:pPr>
    </w:p>
    <w:p>
      <w:pPr>
        <w:pStyle w:val="48"/>
        <w:spacing w:line="570" w:lineRule="exact"/>
        <w:ind w:firstLine="720" w:firstLineChars="200"/>
        <w:jc w:val="center"/>
        <w:rPr>
          <w:kern w:val="0"/>
          <w:sz w:val="36"/>
          <w:szCs w:val="36"/>
          <w:lang w:val="zh-TW" w:eastAsia="zh-TW"/>
        </w:rPr>
      </w:pPr>
      <w:r>
        <w:rPr>
          <w:rFonts w:ascii="仿宋_GB2312" w:hAnsi="仿宋_GB2312" w:eastAsia="仿宋_GB2312" w:cs="仿宋_GB2312"/>
          <w:kern w:val="0"/>
          <w:sz w:val="36"/>
          <w:szCs w:val="36"/>
          <w:lang w:val="zh-TW" w:eastAsia="zh-TW"/>
        </w:rPr>
        <w:t>（201</w:t>
      </w:r>
      <w:r>
        <w:rPr>
          <w:rFonts w:hint="eastAsia" w:ascii="仿宋_GB2312" w:hAnsi="仿宋_GB2312" w:eastAsia="仿宋_GB2312" w:cs="仿宋_GB2312"/>
          <w:kern w:val="0"/>
          <w:sz w:val="36"/>
          <w:szCs w:val="36"/>
          <w:lang w:val="zh-TW"/>
        </w:rPr>
        <w:t>8</w:t>
      </w:r>
      <w:r>
        <w:rPr>
          <w:rFonts w:ascii="仿宋_GB2312" w:hAnsi="仿宋_GB2312" w:eastAsia="仿宋_GB2312" w:cs="仿宋_GB2312"/>
          <w:kern w:val="0"/>
          <w:sz w:val="36"/>
          <w:szCs w:val="36"/>
          <w:lang w:val="zh-TW" w:eastAsia="zh-TW"/>
        </w:rPr>
        <w:t>年度）</w:t>
      </w: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rPr>
          <w:kern w:val="0"/>
          <w:sz w:val="30"/>
          <w:szCs w:val="30"/>
        </w:rPr>
      </w:pPr>
    </w:p>
    <w:p>
      <w:pPr>
        <w:pStyle w:val="48"/>
        <w:spacing w:line="570" w:lineRule="exact"/>
        <w:ind w:firstLine="600" w:firstLineChars="200"/>
        <w:rPr>
          <w:kern w:val="0"/>
          <w:sz w:val="30"/>
          <w:szCs w:val="30"/>
        </w:rPr>
      </w:pPr>
    </w:p>
    <w:p>
      <w:pPr>
        <w:pStyle w:val="48"/>
        <w:spacing w:line="570" w:lineRule="exact"/>
        <w:ind w:firstLine="720" w:firstLineChars="200"/>
        <w:jc w:val="left"/>
        <w:rPr>
          <w:rFonts w:ascii="仿宋_GB2312" w:hAnsi="仿宋_GB2312" w:eastAsia="仿宋_GB2312" w:cs="仿宋_GB2312"/>
          <w:kern w:val="0"/>
          <w:sz w:val="56"/>
          <w:szCs w:val="56"/>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rPr>
        <w:t>:</w:t>
      </w:r>
      <w:r>
        <w:rPr>
          <w:rFonts w:hint="eastAsia" w:eastAsia="仿宋_GB2312"/>
          <w:sz w:val="36"/>
          <w:szCs w:val="36"/>
        </w:rPr>
        <w:t>林果业病虫害防治项目</w:t>
      </w:r>
    </w:p>
    <w:p>
      <w:pPr>
        <w:pStyle w:val="48"/>
        <w:spacing w:line="570" w:lineRule="exact"/>
        <w:ind w:firstLine="720" w:firstLineChars="200"/>
        <w:jc w:val="left"/>
        <w:rPr>
          <w:rFonts w:eastAsia="仿宋_GB2312"/>
          <w:kern w:val="0"/>
          <w:sz w:val="36"/>
          <w:szCs w:val="36"/>
        </w:rPr>
      </w:pP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rPr>
        <w:t>城镇人民政府</w:t>
      </w:r>
    </w:p>
    <w:p>
      <w:pPr>
        <w:pStyle w:val="48"/>
        <w:spacing w:line="570" w:lineRule="exact"/>
        <w:ind w:firstLine="720" w:firstLineChars="200"/>
        <w:jc w:val="left"/>
        <w:rPr>
          <w:kern w:val="0"/>
          <w:sz w:val="36"/>
          <w:szCs w:val="36"/>
          <w:lang w:val="zh-TW" w:eastAsia="zh-TW"/>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rPr>
        <w:t>城镇人民政府</w:t>
      </w:r>
    </w:p>
    <w:p>
      <w:pPr>
        <w:pStyle w:val="48"/>
        <w:spacing w:line="570" w:lineRule="exact"/>
        <w:ind w:firstLine="720" w:firstLineChars="200"/>
        <w:jc w:val="left"/>
        <w:rPr>
          <w:rFonts w:eastAsia="仿宋_GB2312"/>
          <w:kern w:val="0"/>
          <w:sz w:val="36"/>
          <w:szCs w:val="36"/>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rPr>
        <w:t>吴麦记</w:t>
      </w:r>
    </w:p>
    <w:p>
      <w:pPr>
        <w:pStyle w:val="48"/>
        <w:spacing w:line="57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lang w:val="zh-TW"/>
        </w:rPr>
        <w:t>9</w:t>
      </w:r>
      <w:r>
        <w:rPr>
          <w:rFonts w:ascii="仿宋_GB2312" w:hAnsi="仿宋_GB2312" w:eastAsia="仿宋_GB2312" w:cs="仿宋_GB2312"/>
          <w:kern w:val="0"/>
          <w:sz w:val="36"/>
          <w:szCs w:val="36"/>
          <w:lang w:val="zh-TW" w:eastAsia="zh-TW"/>
        </w:rPr>
        <w:t>年</w:t>
      </w:r>
      <w:r>
        <w:rPr>
          <w:rFonts w:hint="eastAsia" w:ascii="仿宋_GB2312" w:hAnsi="仿宋_GB2312" w:eastAsia="仿宋_GB2312" w:cs="仿宋_GB2312"/>
          <w:kern w:val="0"/>
          <w:sz w:val="36"/>
          <w:szCs w:val="36"/>
          <w:lang w:val="zh-TW"/>
        </w:rPr>
        <w:t>8</w:t>
      </w:r>
      <w:r>
        <w:rPr>
          <w:rFonts w:ascii="仿宋_GB2312" w:hAnsi="仿宋_GB2312" w:eastAsia="仿宋_GB2312" w:cs="仿宋_GB2312"/>
          <w:kern w:val="0"/>
          <w:sz w:val="36"/>
          <w:szCs w:val="36"/>
          <w:lang w:val="zh-TW" w:eastAsia="zh-TW"/>
        </w:rPr>
        <w:t>月</w:t>
      </w:r>
      <w:r>
        <w:rPr>
          <w:rFonts w:hint="eastAsia" w:ascii="仿宋_GB2312" w:hAnsi="仿宋_GB2312" w:eastAsia="仿宋_GB2312" w:cs="仿宋_GB2312"/>
          <w:kern w:val="0"/>
          <w:sz w:val="36"/>
          <w:szCs w:val="36"/>
        </w:rPr>
        <w:t>22</w:t>
      </w:r>
      <w:r>
        <w:rPr>
          <w:rFonts w:ascii="仿宋_GB2312" w:hAnsi="仿宋_GB2312" w:eastAsia="仿宋_GB2312" w:cs="仿宋_GB2312"/>
          <w:kern w:val="0"/>
          <w:sz w:val="36"/>
          <w:szCs w:val="36"/>
          <w:lang w:val="zh-TW" w:eastAsia="zh-TW"/>
        </w:rPr>
        <w:t>日</w:t>
      </w:r>
    </w:p>
    <w:p>
      <w:pPr>
        <w:pStyle w:val="48"/>
        <w:spacing w:line="570" w:lineRule="exact"/>
        <w:ind w:firstLine="624" w:firstLineChars="200"/>
        <w:jc w:val="left"/>
        <w:rPr>
          <w:rStyle w:val="18"/>
          <w:rFonts w:ascii="黑体" w:hAnsi="黑体" w:eastAsia="黑体"/>
          <w:b w:val="0"/>
          <w:spacing w:val="-4"/>
          <w:sz w:val="32"/>
          <w:szCs w:val="32"/>
        </w:rPr>
      </w:pPr>
    </w:p>
    <w:p>
      <w:pPr>
        <w:adjustRightInd w:val="0"/>
        <w:snapToGrid w:val="0"/>
        <w:spacing w:line="560" w:lineRule="exact"/>
        <w:ind w:firstLine="723" w:firstLineChars="200"/>
        <w:jc w:val="center"/>
        <w:rPr>
          <w:rFonts w:ascii="黑体" w:hAnsi="黑体" w:eastAsia="黑体" w:cs="宋体"/>
          <w:b/>
          <w:kern w:val="0"/>
          <w:sz w:val="36"/>
          <w:szCs w:val="36"/>
        </w:rPr>
      </w:pPr>
    </w:p>
    <w:p>
      <w:pPr>
        <w:adjustRightInd w:val="0"/>
        <w:snapToGrid w:val="0"/>
        <w:spacing w:line="560" w:lineRule="exact"/>
        <w:ind w:firstLine="723" w:firstLineChars="200"/>
        <w:jc w:val="center"/>
        <w:rPr>
          <w:rStyle w:val="18"/>
          <w:rFonts w:ascii="黑体" w:hAnsi="黑体" w:eastAsia="黑体"/>
          <w:b w:val="0"/>
          <w:spacing w:val="-4"/>
          <w:sz w:val="32"/>
          <w:szCs w:val="32"/>
        </w:rPr>
      </w:pPr>
      <w:r>
        <w:rPr>
          <w:rFonts w:hint="eastAsia" w:ascii="黑体" w:hAnsi="黑体" w:eastAsia="黑体" w:cs="宋体"/>
          <w:b/>
          <w:kern w:val="0"/>
          <w:sz w:val="36"/>
          <w:szCs w:val="36"/>
        </w:rPr>
        <w:t>托普鲁克乡林果业病虫害防治项目绩效自评报告</w:t>
      </w:r>
    </w:p>
    <w:p>
      <w:pPr>
        <w:pStyle w:val="48"/>
        <w:spacing w:line="700" w:lineRule="exact"/>
        <w:ind w:firstLine="624" w:firstLineChars="200"/>
        <w:jc w:val="left"/>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一、项目概况</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adjustRightInd w:val="0"/>
        <w:snapToGrid w:val="0"/>
        <w:spacing w:line="560" w:lineRule="exact"/>
        <w:ind w:firstLine="707" w:firstLineChars="200"/>
        <w:rPr>
          <w:rStyle w:val="18"/>
          <w:rFonts w:hint="eastAsia" w:ascii="楷体" w:hAnsi="楷体" w:eastAsia="楷体"/>
          <w:spacing w:val="-4"/>
          <w:sz w:val="36"/>
          <w:szCs w:val="32"/>
        </w:rPr>
      </w:pPr>
      <w:r>
        <w:rPr>
          <w:rStyle w:val="18"/>
          <w:rFonts w:hint="eastAsia" w:ascii="楷体" w:hAnsi="楷体" w:eastAsia="楷体"/>
          <w:spacing w:val="-4"/>
          <w:sz w:val="36"/>
          <w:szCs w:val="32"/>
        </w:rPr>
        <w:t>英吉沙镇位于英吉沙县城以北，镇政府驻地距县城4.3公里，辖区总面积34平方公里，耕地面积3881.3亩。辖19个社区、7个村、总户数13929户52140人。其中汉族人口1391户3546人，分别占比10%和6.8%，人员密集场所有商业步行街、美食街、英巴格市场、奥尔达市场和综合商贸市场。辖区内既有全县各级党政机关、企事业单位，也有工业园区、商铺和集贸市场。</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县财政为城镇拨付林果业病虫害防治项目，通过为贫困户购买农药，发放给贫困户用于林果业病虫害的防治，增加产量，促进贫困户增收。</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w:t>
      </w:r>
      <w:r>
        <w:rPr>
          <w:rStyle w:val="18"/>
          <w:rFonts w:hint="eastAsia" w:ascii="仿宋" w:hAnsi="仿宋" w:eastAsia="仿宋"/>
          <w:b w:val="0"/>
          <w:spacing w:val="-4"/>
          <w:sz w:val="32"/>
          <w:szCs w:val="32"/>
        </w:rPr>
        <w:t>项目</w:t>
      </w:r>
      <w:r>
        <w:rPr>
          <w:rFonts w:hint="eastAsia" w:ascii="仿宋" w:hAnsi="仿宋" w:eastAsia="仿宋"/>
          <w:bCs/>
          <w:spacing w:val="-4"/>
          <w:sz w:val="32"/>
          <w:szCs w:val="32"/>
        </w:rPr>
        <w:t>性质为长期项目。</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英吉沙县城镇林果业病虫害防治项目为乡政府扶贫项目，通过为贫困户购买农药，发放给贫困户用于林果业病虫害的防治，增加产量，促进贫困户增收，受益范围为全乡1326户贫困户。</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英吉沙县城镇林果业病虫害防治项目项目预算安排总额为6.0942万元，其中财政资金6.0942万元，自筹资金0万元，2018年实际收到预算资金6.0942万元。</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本项目已支付资金</w:t>
      </w:r>
      <w:r>
        <w:rPr>
          <w:rStyle w:val="18"/>
          <w:rFonts w:hint="eastAsia" w:ascii="仿宋" w:hAnsi="仿宋" w:eastAsia="仿宋"/>
          <w:b w:val="0"/>
          <w:spacing w:val="-4"/>
          <w:sz w:val="32"/>
          <w:szCs w:val="32"/>
        </w:rPr>
        <w:t>.60942万元</w:t>
      </w:r>
      <w:r>
        <w:rPr>
          <w:rFonts w:hint="eastAsia" w:ascii="仿宋" w:hAnsi="仿宋" w:eastAsia="仿宋"/>
          <w:bCs/>
          <w:spacing w:val="-4"/>
          <w:sz w:val="32"/>
          <w:szCs w:val="32"/>
        </w:rPr>
        <w:t>，结余资金为0万元。</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adjustRightInd w:val="0"/>
        <w:snapToGrid w:val="0"/>
        <w:spacing w:line="560" w:lineRule="exact"/>
        <w:ind w:firstLine="624" w:firstLineChars="200"/>
        <w:rPr>
          <w:rStyle w:val="18"/>
          <w:rFonts w:ascii="仿宋" w:hAnsi="仿宋" w:eastAsia="仿宋"/>
          <w:b w:val="0"/>
          <w:bCs w:val="0"/>
          <w:spacing w:val="-4"/>
          <w:sz w:val="32"/>
          <w:szCs w:val="32"/>
        </w:rPr>
      </w:pPr>
      <w:r>
        <w:rPr>
          <w:rFonts w:hint="eastAsia" w:ascii="仿宋" w:hAnsi="仿宋" w:eastAsia="仿宋"/>
          <w:bCs/>
          <w:spacing w:val="-4"/>
          <w:sz w:val="32"/>
          <w:szCs w:val="32"/>
        </w:rPr>
        <w:t>本项目支出符合英吉沙县财政局、英吉沙县城镇人民政府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该项目属于长期项目,由城镇人民政府主管项目。实施过程均按照本单位制定的管理制度执行。</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本项目不存在调整情况。</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为保证项目质量和成本控制，项目实施完成后，由本项目相关人员组织进行发放情况。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adjustRightInd w:val="0"/>
        <w:snapToGrid w:val="0"/>
        <w:spacing w:line="560" w:lineRule="exact"/>
        <w:ind w:firstLine="624" w:firstLineChars="200"/>
        <w:rPr>
          <w:rStyle w:val="18"/>
          <w:rFonts w:ascii="仿宋" w:hAnsi="仿宋" w:eastAsia="仿宋"/>
          <w:b w:val="0"/>
          <w:spacing w:val="-4"/>
          <w:sz w:val="32"/>
          <w:szCs w:val="32"/>
        </w:rPr>
      </w:pPr>
      <w:r>
        <w:rPr>
          <w:rFonts w:hint="eastAsia" w:ascii="仿宋" w:hAnsi="仿宋" w:eastAsia="仿宋"/>
          <w:bCs/>
          <w:spacing w:val="-4"/>
          <w:sz w:val="32"/>
          <w:szCs w:val="32"/>
        </w:rPr>
        <w:t>项目实施过程中，英吉沙县城镇人民政府制定了英吉沙县城镇林果业病虫害防治项目资金支出及资金核销管理办法，保障项目的顺利实施。项目的实施遵守相关法律法规和业务管理规定，项目资料齐全并及时归档。已建立相关日常检查监督检查机制，不定期对项目进度情况进行督导检查，对检查过程中发现的问题及时督促整改，确保了项目按时保质完成”。</w:t>
      </w:r>
    </w:p>
    <w:p>
      <w:pPr>
        <w:adjustRightInd w:val="0"/>
        <w:snapToGrid w:val="0"/>
        <w:spacing w:line="560" w:lineRule="exact"/>
        <w:ind w:firstLine="624" w:firstLineChars="200"/>
        <w:outlineLvl w:val="0"/>
        <w:rPr>
          <w:rStyle w:val="18"/>
          <w:rFonts w:ascii="黑体" w:hAnsi="黑体" w:eastAsia="黑体"/>
        </w:rPr>
      </w:pPr>
      <w:r>
        <w:rPr>
          <w:rStyle w:val="18"/>
          <w:rFonts w:hint="eastAsia" w:ascii="黑体" w:hAnsi="黑体" w:eastAsia="黑体"/>
          <w:b w:val="0"/>
          <w:spacing w:val="-4"/>
          <w:sz w:val="32"/>
          <w:szCs w:val="32"/>
        </w:rPr>
        <w:t>四、项目绩效情况</w:t>
      </w:r>
    </w:p>
    <w:p>
      <w:pPr>
        <w:adjustRightInd w:val="0"/>
        <w:snapToGrid w:val="0"/>
        <w:spacing w:line="560" w:lineRule="exact"/>
        <w:ind w:firstLine="627" w:firstLineChars="200"/>
        <w:outlineLvl w:val="0"/>
        <w:rPr>
          <w:rStyle w:val="18"/>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560" w:lineRule="exact"/>
        <w:ind w:firstLine="624" w:firstLineChars="200"/>
        <w:rPr>
          <w:rFonts w:ascii="仿宋" w:hAnsi="仿宋" w:eastAsia="仿宋"/>
          <w:bCs/>
          <w:spacing w:val="-4"/>
          <w:sz w:val="32"/>
          <w:szCs w:val="32"/>
        </w:rPr>
      </w:pPr>
      <w:r>
        <w:rPr>
          <w:rFonts w:ascii="仿宋" w:hAnsi="仿宋" w:eastAsia="仿宋"/>
          <w:bCs/>
          <w:spacing w:val="-4"/>
          <w:sz w:val="32"/>
          <w:szCs w:val="32"/>
        </w:rPr>
        <w:t>本项目共设置一级指标</w:t>
      </w:r>
      <w:r>
        <w:rPr>
          <w:rFonts w:hint="eastAsia" w:ascii="仿宋" w:hAnsi="仿宋" w:eastAsia="仿宋"/>
          <w:bCs/>
          <w:spacing w:val="-4"/>
          <w:sz w:val="32"/>
          <w:szCs w:val="32"/>
        </w:rPr>
        <w:t>3</w:t>
      </w:r>
      <w:r>
        <w:rPr>
          <w:rFonts w:ascii="仿宋" w:hAnsi="仿宋" w:eastAsia="仿宋"/>
          <w:bCs/>
          <w:spacing w:val="-4"/>
          <w:sz w:val="32"/>
          <w:szCs w:val="32"/>
        </w:rPr>
        <w:t>个</w:t>
      </w:r>
      <w:r>
        <w:rPr>
          <w:rFonts w:hint="eastAsia" w:ascii="仿宋" w:hAnsi="仿宋" w:eastAsia="仿宋"/>
          <w:bCs/>
          <w:spacing w:val="-4"/>
          <w:sz w:val="32"/>
          <w:szCs w:val="32"/>
        </w:rPr>
        <w:t>，</w:t>
      </w:r>
      <w:r>
        <w:rPr>
          <w:rFonts w:ascii="仿宋" w:hAnsi="仿宋" w:eastAsia="仿宋"/>
          <w:bCs/>
          <w:spacing w:val="-4"/>
          <w:sz w:val="32"/>
          <w:szCs w:val="32"/>
        </w:rPr>
        <w:t>二级指标</w:t>
      </w:r>
      <w:r>
        <w:rPr>
          <w:rFonts w:hint="eastAsia" w:ascii="仿宋" w:hAnsi="仿宋" w:eastAsia="仿宋"/>
          <w:bCs/>
          <w:spacing w:val="-4"/>
          <w:sz w:val="32"/>
          <w:szCs w:val="32"/>
        </w:rPr>
        <w:t>9</w:t>
      </w:r>
      <w:r>
        <w:rPr>
          <w:rFonts w:ascii="仿宋" w:hAnsi="仿宋" w:eastAsia="仿宋"/>
          <w:bCs/>
          <w:spacing w:val="-4"/>
          <w:sz w:val="32"/>
          <w:szCs w:val="32"/>
        </w:rPr>
        <w:t>个</w:t>
      </w:r>
      <w:r>
        <w:rPr>
          <w:rFonts w:hint="eastAsia" w:ascii="仿宋" w:hAnsi="仿宋" w:eastAsia="仿宋"/>
          <w:bCs/>
          <w:spacing w:val="-4"/>
          <w:sz w:val="32"/>
          <w:szCs w:val="32"/>
        </w:rPr>
        <w:t>，</w:t>
      </w:r>
      <w:r>
        <w:rPr>
          <w:rFonts w:ascii="仿宋" w:hAnsi="仿宋" w:eastAsia="仿宋"/>
          <w:bCs/>
          <w:spacing w:val="-4"/>
          <w:sz w:val="32"/>
          <w:szCs w:val="32"/>
        </w:rPr>
        <w:t>三级指标</w:t>
      </w:r>
      <w:r>
        <w:rPr>
          <w:rFonts w:hint="eastAsia" w:ascii="仿宋" w:hAnsi="仿宋" w:eastAsia="仿宋"/>
          <w:bCs/>
          <w:spacing w:val="-4"/>
          <w:sz w:val="32"/>
          <w:szCs w:val="32"/>
        </w:rPr>
        <w:t>12</w:t>
      </w:r>
      <w:r>
        <w:rPr>
          <w:rFonts w:ascii="仿宋" w:hAnsi="仿宋" w:eastAsia="仿宋"/>
          <w:bCs/>
          <w:spacing w:val="-4"/>
          <w:sz w:val="32"/>
          <w:szCs w:val="32"/>
        </w:rPr>
        <w:t>个</w:t>
      </w:r>
      <w:r>
        <w:rPr>
          <w:rFonts w:hint="eastAsia" w:ascii="仿宋" w:hAnsi="仿宋" w:eastAsia="仿宋"/>
          <w:bCs/>
          <w:spacing w:val="-4"/>
          <w:sz w:val="32"/>
          <w:szCs w:val="32"/>
        </w:rPr>
        <w:t>，目前该项目已完成。</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560" w:lineRule="exact"/>
        <w:ind w:firstLine="624" w:firstLineChars="200"/>
        <w:outlineLvl w:val="0"/>
        <w:rPr>
          <w:rFonts w:ascii="仿宋" w:hAnsi="仿宋" w:eastAsia="仿宋"/>
          <w:spacing w:val="-4"/>
          <w:sz w:val="32"/>
          <w:szCs w:val="32"/>
        </w:rPr>
      </w:pPr>
      <w:r>
        <w:rPr>
          <w:rFonts w:hint="eastAsia" w:ascii="仿宋" w:hAnsi="仿宋" w:eastAsia="仿宋"/>
          <w:spacing w:val="-4"/>
          <w:sz w:val="32"/>
          <w:szCs w:val="32"/>
        </w:rPr>
        <w:t>无</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（一）后续工作计划</w:t>
      </w:r>
    </w:p>
    <w:p>
      <w:pPr>
        <w:adjustRightInd w:val="0"/>
        <w:snapToGrid w:val="0"/>
        <w:spacing w:line="560" w:lineRule="exact"/>
        <w:ind w:firstLine="624" w:firstLineChars="200"/>
        <w:outlineLvl w:val="0"/>
        <w:rPr>
          <w:rFonts w:ascii="仿宋" w:hAnsi="仿宋" w:eastAsia="仿宋"/>
          <w:bCs/>
          <w:spacing w:val="-4"/>
          <w:sz w:val="32"/>
          <w:szCs w:val="32"/>
        </w:rPr>
      </w:pPr>
      <w:r>
        <w:rPr>
          <w:rFonts w:hint="eastAsia" w:ascii="仿宋" w:hAnsi="仿宋" w:eastAsia="仿宋"/>
          <w:bCs/>
          <w:spacing w:val="-4"/>
          <w:sz w:val="32"/>
          <w:szCs w:val="32"/>
        </w:rPr>
        <w:t>根据项目现实施情况，计划下一年度继续申请林果业病虫害防治项目，以保证农民</w:t>
      </w:r>
      <w:bookmarkStart w:id="0" w:name="_GoBack"/>
      <w:bookmarkEnd w:id="0"/>
      <w:r>
        <w:rPr>
          <w:rFonts w:hint="eastAsia" w:ascii="仿宋" w:hAnsi="仿宋" w:eastAsia="仿宋"/>
          <w:bCs/>
          <w:spacing w:val="-4"/>
          <w:sz w:val="32"/>
          <w:szCs w:val="32"/>
          <w:lang w:eastAsia="zh-CN"/>
        </w:rPr>
        <w:t>稳步</w:t>
      </w:r>
      <w:r>
        <w:rPr>
          <w:rFonts w:hint="eastAsia" w:ascii="仿宋" w:hAnsi="仿宋" w:eastAsia="仿宋"/>
          <w:bCs/>
          <w:spacing w:val="-4"/>
          <w:sz w:val="32"/>
          <w:szCs w:val="32"/>
        </w:rPr>
        <w:t>增收，如期脱贫。</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1、主要经验及做法：</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由于项目存在较为严格的管理要求，乡党委高度重视并召开专题讨论会，及时制定相关管理办法。</w:t>
      </w:r>
    </w:p>
    <w:p>
      <w:pPr>
        <w:numPr>
          <w:ilvl w:val="0"/>
          <w:numId w:val="1"/>
        </w:num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存在的问题：</w:t>
      </w:r>
    </w:p>
    <w:p>
      <w:pPr>
        <w:adjustRightInd w:val="0"/>
        <w:snapToGrid w:val="0"/>
        <w:spacing w:line="560" w:lineRule="exact"/>
        <w:rPr>
          <w:rFonts w:ascii="仿宋" w:hAnsi="仿宋" w:eastAsia="仿宋"/>
          <w:bCs/>
          <w:spacing w:val="-4"/>
          <w:sz w:val="32"/>
          <w:szCs w:val="32"/>
        </w:rPr>
      </w:pPr>
      <w:r>
        <w:rPr>
          <w:rFonts w:hint="eastAsia" w:ascii="仿宋" w:hAnsi="仿宋" w:eastAsia="仿宋"/>
          <w:bCs/>
          <w:spacing w:val="-4"/>
          <w:sz w:val="32"/>
          <w:szCs w:val="32"/>
        </w:rPr>
        <w:t xml:space="preserve">    管理要求较高</w:t>
      </w:r>
    </w:p>
    <w:p>
      <w:pPr>
        <w:numPr>
          <w:ilvl w:val="0"/>
          <w:numId w:val="1"/>
        </w:num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建议：</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暂无。</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无其他说明内容。</w:t>
      </w:r>
    </w:p>
    <w:p>
      <w:pPr>
        <w:adjustRightInd w:val="0"/>
        <w:snapToGrid w:val="0"/>
        <w:spacing w:line="560" w:lineRule="exact"/>
        <w:ind w:firstLine="624" w:firstLineChars="200"/>
        <w:outlineLvl w:val="0"/>
        <w:rPr>
          <w:rFonts w:ascii="黑体" w:hAnsi="黑体" w:eastAsia="黑体"/>
          <w:bCs/>
          <w:spacing w:val="-4"/>
          <w:sz w:val="32"/>
          <w:szCs w:val="32"/>
        </w:rPr>
      </w:pPr>
      <w:r>
        <w:rPr>
          <w:rStyle w:val="18"/>
          <w:rFonts w:hint="eastAsia" w:ascii="黑体" w:hAnsi="黑体" w:eastAsia="黑体"/>
          <w:b w:val="0"/>
          <w:spacing w:val="-4"/>
          <w:sz w:val="32"/>
          <w:szCs w:val="32"/>
        </w:rPr>
        <w:t>六、项目评价工作情况</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次评价通过文件研读、实地调研、数据分析等方式，全面了解英吉沙县城镇林果业病虫害防治项目资金的使用方式和效果，项目管理过程是否规范，是否完成了预期绩效目标等。同时，通过开展自我评价来总结经验和教训，为我乡其他扶贫项目今后的开展提供参考建议。</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《项目支出绩效目标自评表》</w:t>
      </w:r>
    </w:p>
    <w:p>
      <w:pPr>
        <w:adjustRightInd w:val="0"/>
        <w:snapToGrid w:val="0"/>
        <w:spacing w:line="560" w:lineRule="exact"/>
        <w:ind w:firstLine="627" w:firstLineChars="200"/>
        <w:rPr>
          <w:rStyle w:val="18"/>
          <w:rFonts w:ascii="仿宋" w:hAnsi="仿宋" w:eastAsia="仿宋"/>
          <w:spacing w:val="-4"/>
          <w:sz w:val="32"/>
          <w:szCs w:val="32"/>
        </w:rPr>
      </w:pPr>
    </w:p>
    <w:sectPr>
      <w:headerReference r:id="rId3" w:type="default"/>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华文中宋">
    <w:altName w:val="宋体"/>
    <w:panose1 w:val="02010600040101010101"/>
    <w:charset w:val="86"/>
    <w:family w:val="auto"/>
    <w:pitch w:val="default"/>
    <w:sig w:usb0="00000000" w:usb1="00000000" w:usb2="00000010" w:usb3="00000000" w:csb0="0004009F" w:csb1="00000000"/>
  </w:font>
  <w:font w:name="方正黑体_GBK">
    <w:altName w:val="微软雅黑"/>
    <w:panose1 w:val="00000000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51990F2"/>
    <w:multiLevelType w:val="singleLevel"/>
    <w:tmpl w:val="E51990F2"/>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12208E"/>
    <w:rsid w:val="00135256"/>
    <w:rsid w:val="001A4E1F"/>
    <w:rsid w:val="001A57B9"/>
    <w:rsid w:val="001C3847"/>
    <w:rsid w:val="001F3031"/>
    <w:rsid w:val="00210A26"/>
    <w:rsid w:val="002A2532"/>
    <w:rsid w:val="002A2D76"/>
    <w:rsid w:val="00365250"/>
    <w:rsid w:val="0036624C"/>
    <w:rsid w:val="00385849"/>
    <w:rsid w:val="003A1EEB"/>
    <w:rsid w:val="00405181"/>
    <w:rsid w:val="00413F4C"/>
    <w:rsid w:val="0050167F"/>
    <w:rsid w:val="00514506"/>
    <w:rsid w:val="005162F1"/>
    <w:rsid w:val="00516E80"/>
    <w:rsid w:val="00535153"/>
    <w:rsid w:val="005516CF"/>
    <w:rsid w:val="00557276"/>
    <w:rsid w:val="0056054C"/>
    <w:rsid w:val="00572F83"/>
    <w:rsid w:val="00575CFE"/>
    <w:rsid w:val="00583AFC"/>
    <w:rsid w:val="00592D09"/>
    <w:rsid w:val="005B4AE0"/>
    <w:rsid w:val="00675D58"/>
    <w:rsid w:val="006F2E6D"/>
    <w:rsid w:val="007218B8"/>
    <w:rsid w:val="00755C6A"/>
    <w:rsid w:val="00785FDE"/>
    <w:rsid w:val="007A0351"/>
    <w:rsid w:val="007A14BC"/>
    <w:rsid w:val="007C0749"/>
    <w:rsid w:val="007C1025"/>
    <w:rsid w:val="007E6845"/>
    <w:rsid w:val="007F5F8A"/>
    <w:rsid w:val="00826CA1"/>
    <w:rsid w:val="00835B7F"/>
    <w:rsid w:val="0085327F"/>
    <w:rsid w:val="00855E3A"/>
    <w:rsid w:val="00922CB9"/>
    <w:rsid w:val="009350F7"/>
    <w:rsid w:val="009B526F"/>
    <w:rsid w:val="009C1AFD"/>
    <w:rsid w:val="00A26421"/>
    <w:rsid w:val="00A4293B"/>
    <w:rsid w:val="00A83BD5"/>
    <w:rsid w:val="00A92516"/>
    <w:rsid w:val="00A977DF"/>
    <w:rsid w:val="00AE6A23"/>
    <w:rsid w:val="00B06CA5"/>
    <w:rsid w:val="00B41F61"/>
    <w:rsid w:val="00B55332"/>
    <w:rsid w:val="00B86E8C"/>
    <w:rsid w:val="00BE1A00"/>
    <w:rsid w:val="00C22CF0"/>
    <w:rsid w:val="00C56C72"/>
    <w:rsid w:val="00CA6457"/>
    <w:rsid w:val="00CC6E4D"/>
    <w:rsid w:val="00D17F2E"/>
    <w:rsid w:val="00D46194"/>
    <w:rsid w:val="00E01293"/>
    <w:rsid w:val="00E027D1"/>
    <w:rsid w:val="00E365F6"/>
    <w:rsid w:val="00E729E4"/>
    <w:rsid w:val="00E769FE"/>
    <w:rsid w:val="00E918C5"/>
    <w:rsid w:val="00EA2CBE"/>
    <w:rsid w:val="00EA78B6"/>
    <w:rsid w:val="00F15E9B"/>
    <w:rsid w:val="00F32FEE"/>
    <w:rsid w:val="00F53E69"/>
    <w:rsid w:val="00F65B30"/>
    <w:rsid w:val="00FD7128"/>
    <w:rsid w:val="067D29CF"/>
    <w:rsid w:val="06B16365"/>
    <w:rsid w:val="09F141FA"/>
    <w:rsid w:val="186F052F"/>
    <w:rsid w:val="284177E2"/>
    <w:rsid w:val="2AE40F6B"/>
    <w:rsid w:val="373140DD"/>
    <w:rsid w:val="3B700F79"/>
    <w:rsid w:val="3BD00B57"/>
    <w:rsid w:val="3C244682"/>
    <w:rsid w:val="462455B2"/>
    <w:rsid w:val="488E0CC2"/>
    <w:rsid w:val="4DAE4465"/>
    <w:rsid w:val="4DC432D2"/>
    <w:rsid w:val="52A22AB4"/>
    <w:rsid w:val="5B652028"/>
    <w:rsid w:val="64ED4BA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2"/>
    <w:qFormat/>
    <w:uiPriority w:val="9"/>
    <w:rPr>
      <w:rFonts w:asciiTheme="majorHAnsi" w:hAnsiTheme="majorHAnsi" w:eastAsiaTheme="majorEastAsia"/>
      <w:b/>
      <w:bCs/>
      <w:kern w:val="32"/>
      <w:sz w:val="32"/>
      <w:szCs w:val="32"/>
    </w:rPr>
  </w:style>
  <w:style w:type="character" w:customStyle="1" w:styleId="22">
    <w:name w:val="标题 2 Char"/>
    <w:basedOn w:val="17"/>
    <w:link w:val="3"/>
    <w:semiHidden/>
    <w:qFormat/>
    <w:uiPriority w:val="9"/>
    <w:rPr>
      <w:rFonts w:asciiTheme="majorHAnsi" w:hAnsiTheme="majorHAnsi" w:eastAsiaTheme="majorEastAsia"/>
      <w:b/>
      <w:bCs/>
      <w:i/>
      <w:iCs/>
      <w:sz w:val="28"/>
      <w:szCs w:val="28"/>
    </w:rPr>
  </w:style>
  <w:style w:type="character" w:customStyle="1" w:styleId="23">
    <w:name w:val="标题 3 Char"/>
    <w:basedOn w:val="17"/>
    <w:link w:val="4"/>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7"/>
    <w:qFormat/>
    <w:uiPriority w:val="21"/>
    <w:rPr>
      <w:b/>
      <w:i/>
      <w:sz w:val="24"/>
      <w:szCs w:val="24"/>
      <w:u w:val="single"/>
    </w:rPr>
  </w:style>
  <w:style w:type="character" w:customStyle="1" w:styleId="40">
    <w:name w:val="不明显参考1"/>
    <w:basedOn w:val="17"/>
    <w:qFormat/>
    <w:uiPriority w:val="31"/>
    <w:rPr>
      <w:sz w:val="24"/>
      <w:szCs w:val="24"/>
      <w:u w:val="single"/>
    </w:rPr>
  </w:style>
  <w:style w:type="character" w:customStyle="1" w:styleId="41">
    <w:name w:val="明显参考1"/>
    <w:basedOn w:val="17"/>
    <w:qFormat/>
    <w:uiPriority w:val="32"/>
    <w:rPr>
      <w:b/>
      <w:sz w:val="24"/>
      <w:u w:val="single"/>
    </w:rPr>
  </w:style>
  <w:style w:type="character" w:customStyle="1" w:styleId="42">
    <w:name w:val="书籍标题1"/>
    <w:basedOn w:val="17"/>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Char"/>
    <w:basedOn w:val="17"/>
    <w:link w:val="14"/>
    <w:qFormat/>
    <w:uiPriority w:val="99"/>
    <w:rPr>
      <w:rFonts w:ascii="Calibri" w:hAnsi="Calibri" w:eastAsia="宋体"/>
      <w:kern w:val="2"/>
      <w:sz w:val="18"/>
      <w:szCs w:val="18"/>
    </w:rPr>
  </w:style>
  <w:style w:type="character" w:customStyle="1" w:styleId="45">
    <w:name w:val="页脚 Char"/>
    <w:basedOn w:val="17"/>
    <w:link w:val="13"/>
    <w:qFormat/>
    <w:uiPriority w:val="99"/>
    <w:rPr>
      <w:rFonts w:ascii="Calibri" w:hAnsi="Calibri" w:eastAsia="宋体"/>
      <w:kern w:val="2"/>
      <w:sz w:val="18"/>
      <w:szCs w:val="18"/>
    </w:rPr>
  </w:style>
  <w:style w:type="character" w:customStyle="1" w:styleId="46">
    <w:name w:val="文档结构图 Char"/>
    <w:basedOn w:val="17"/>
    <w:link w:val="11"/>
    <w:semiHidden/>
    <w:qFormat/>
    <w:uiPriority w:val="99"/>
    <w:rPr>
      <w:rFonts w:ascii="宋体" w:hAnsi="Times New Roman" w:eastAsia="宋体"/>
      <w:kern w:val="2"/>
      <w:sz w:val="18"/>
      <w:szCs w:val="18"/>
    </w:rPr>
  </w:style>
  <w:style w:type="character" w:customStyle="1" w:styleId="47">
    <w:name w:val="批注框文本 Char"/>
    <w:basedOn w:val="17"/>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5C3CE6-BC3A-48EF-A4B3-E01648193812}">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5</Pages>
  <Words>230</Words>
  <Characters>1317</Characters>
  <Lines>10</Lines>
  <Paragraphs>3</Paragraphs>
  <TotalTime>19</TotalTime>
  <ScaleCrop>false</ScaleCrop>
  <LinksUpToDate>false</LinksUpToDate>
  <CharactersWithSpaces>1544</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2019-09-16T11:34:58Z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